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28D8" w14:textId="77777777" w:rsidR="00831003" w:rsidRDefault="006128EC">
      <w:pPr>
        <w:pStyle w:val="Title"/>
        <w:jc w:val="center"/>
      </w:pPr>
      <w:bookmarkStart w:id="0" w:name="_gjdgxs" w:colFirst="0" w:colLast="0"/>
      <w:bookmarkEnd w:id="0"/>
      <w:r>
        <w:t>Voices of the Horse Industry: What can Anthony Hamilton teach us?</w:t>
      </w:r>
    </w:p>
    <w:p w14:paraId="7EC9D0B7" w14:textId="77777777" w:rsidR="00831003" w:rsidRDefault="006128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Created by Annabeth </w:t>
      </w:r>
      <w:proofErr w:type="spellStart"/>
      <w:r>
        <w:rPr>
          <w:sz w:val="24"/>
          <w:szCs w:val="24"/>
        </w:rPr>
        <w:t>Edens</w:t>
      </w:r>
      <w:proofErr w:type="spellEnd"/>
    </w:p>
    <w:p w14:paraId="1F58EC33" w14:textId="77777777" w:rsidR="00831003" w:rsidRDefault="006128E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for </w:t>
      </w:r>
    </w:p>
    <w:p w14:paraId="316A33C6" w14:textId="77777777" w:rsidR="00831003" w:rsidRDefault="006128EC">
      <w:pPr>
        <w:jc w:val="center"/>
        <w:rPr>
          <w:sz w:val="24"/>
          <w:szCs w:val="24"/>
        </w:rPr>
      </w:pPr>
      <w:r>
        <w:rPr>
          <w:sz w:val="24"/>
          <w:szCs w:val="24"/>
        </w:rPr>
        <w:t>The Chronicle of African Americans in the Horse Industry</w:t>
      </w:r>
    </w:p>
    <w:p w14:paraId="52510533" w14:textId="77777777" w:rsidR="00831003" w:rsidRDefault="006128EC">
      <w:pPr>
        <w:jc w:val="center"/>
        <w:rPr>
          <w:b/>
        </w:rPr>
      </w:pPr>
      <w:r>
        <w:rPr>
          <w:sz w:val="24"/>
          <w:szCs w:val="24"/>
        </w:rPr>
        <w:t>www.AfricanAmericanHorseStories.org</w:t>
      </w:r>
      <w:r>
        <w:rPr>
          <w:i/>
          <w:sz w:val="18"/>
          <w:szCs w:val="18"/>
        </w:rPr>
        <w:tab/>
      </w:r>
    </w:p>
    <w:p w14:paraId="0941604E" w14:textId="77777777" w:rsidR="00831003" w:rsidRDefault="00831003">
      <w:pPr>
        <w:jc w:val="center"/>
        <w:rPr>
          <w:b/>
          <w:sz w:val="20"/>
          <w:szCs w:val="20"/>
          <w:highlight w:val="white"/>
        </w:rPr>
      </w:pPr>
    </w:p>
    <w:p w14:paraId="2C183D98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464E0643" w14:textId="77777777">
        <w:trPr>
          <w:trHeight w:val="760"/>
        </w:trPr>
        <w:tc>
          <w:tcPr>
            <w:tcW w:w="10800" w:type="dxa"/>
            <w:shd w:val="clear" w:color="auto" w:fill="F4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FBEF8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Summary</w:t>
            </w:r>
          </w:p>
        </w:tc>
      </w:tr>
      <w:tr w:rsidR="00831003" w14:paraId="1F4687E3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30DD5" w14:textId="77777777" w:rsidR="00831003" w:rsidRDefault="006128EC">
            <w:r>
              <w:t>Born in South Carolina only a year after the US Civil War had ended, Anthony “Tony” Hamilton’s career as a jockey was impressive in more ways than one. While we celebrate his success on the track, it is equally important to understand the political, social</w:t>
            </w:r>
            <w:r>
              <w:t>, and racial tensions of the time. Anthony Hamilton can teach us a lot about horse racing and life for those who worked in or around the industry.</w:t>
            </w:r>
          </w:p>
        </w:tc>
      </w:tr>
    </w:tbl>
    <w:p w14:paraId="6FD7CB54" w14:textId="77777777" w:rsidR="00831003" w:rsidRDefault="00831003">
      <w:pPr>
        <w:rPr>
          <w:sz w:val="20"/>
          <w:szCs w:val="20"/>
          <w:highlight w:val="white"/>
        </w:rPr>
      </w:pPr>
    </w:p>
    <w:p w14:paraId="44A05ABD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7FBC28C1" w14:textId="77777777">
        <w:trPr>
          <w:trHeight w:val="760"/>
        </w:trPr>
        <w:tc>
          <w:tcPr>
            <w:tcW w:w="10800" w:type="dxa"/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5DD00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Grade Levels, Subjects, Standards</w:t>
            </w:r>
          </w:p>
        </w:tc>
      </w:tr>
      <w:tr w:rsidR="00831003" w14:paraId="566179C0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4798F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6-8</w:t>
            </w:r>
          </w:p>
          <w:p w14:paraId="3F68501F" w14:textId="77777777" w:rsidR="00831003" w:rsidRDefault="006128EC">
            <w:pPr>
              <w:rPr>
                <w:sz w:val="24"/>
                <w:szCs w:val="24"/>
              </w:rPr>
            </w:pPr>
            <w:r>
              <w:t>US History, African American History</w:t>
            </w:r>
          </w:p>
          <w:p w14:paraId="1FD681C4" w14:textId="77777777" w:rsidR="00831003" w:rsidRDefault="006128EC">
            <w:r>
              <w:rPr>
                <w:sz w:val="24"/>
                <w:szCs w:val="24"/>
              </w:rPr>
              <w:t>Kentucky Social Studies Standards</w:t>
            </w:r>
            <w:r>
              <w:t xml:space="preserve"> 8.H.CE.2, 8.I.UE.1, </w:t>
            </w:r>
            <w:proofErr w:type="gramStart"/>
            <w:r>
              <w:t>8.I.CC.</w:t>
            </w:r>
            <w:proofErr w:type="gramEnd"/>
            <w:r>
              <w:t>2</w:t>
            </w:r>
          </w:p>
          <w:p w14:paraId="033D0124" w14:textId="77777777" w:rsidR="00831003" w:rsidRDefault="006128EC">
            <w:r>
              <w:t>C3 Framework for Social Studies State Standards D</w:t>
            </w:r>
            <w:proofErr w:type="gramStart"/>
            <w:r>
              <w:t>2.Civ.</w:t>
            </w:r>
            <w:proofErr w:type="gramEnd"/>
            <w:r>
              <w:t>13.6-8, D2.His.1.6-8, D2.His.3.6-8</w:t>
            </w:r>
          </w:p>
        </w:tc>
      </w:tr>
    </w:tbl>
    <w:p w14:paraId="74889304" w14:textId="77777777" w:rsidR="00831003" w:rsidRDefault="00831003">
      <w:pPr>
        <w:rPr>
          <w:sz w:val="20"/>
          <w:szCs w:val="20"/>
          <w:highlight w:val="white"/>
        </w:rPr>
      </w:pPr>
    </w:p>
    <w:p w14:paraId="367CF03F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569182B9" w14:textId="77777777">
        <w:trPr>
          <w:trHeight w:val="760"/>
        </w:trPr>
        <w:tc>
          <w:tcPr>
            <w:tcW w:w="10800" w:type="dxa"/>
            <w:shd w:val="clear" w:color="auto" w:fill="FFF2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97B06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Time Requirements</w:t>
            </w:r>
          </w:p>
        </w:tc>
      </w:tr>
      <w:tr w:rsidR="00831003" w14:paraId="6512F1C9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0E2A1" w14:textId="77777777" w:rsidR="00831003" w:rsidRDefault="006128EC">
            <w:pPr>
              <w:rPr>
                <w:sz w:val="24"/>
                <w:szCs w:val="24"/>
              </w:rPr>
            </w:pPr>
            <w:r>
              <w:t xml:space="preserve">2-3 </w:t>
            </w:r>
            <w:proofErr w:type="gramStart"/>
            <w:r>
              <w:t>50 minute</w:t>
            </w:r>
            <w:proofErr w:type="gramEnd"/>
            <w:r>
              <w:t xml:space="preserve"> periods OR 1-2 90 minute blocks</w:t>
            </w:r>
          </w:p>
        </w:tc>
      </w:tr>
    </w:tbl>
    <w:p w14:paraId="22D287CF" w14:textId="77777777" w:rsidR="00831003" w:rsidRDefault="006128EC">
      <w:pPr>
        <w:rPr>
          <w:sz w:val="20"/>
          <w:szCs w:val="20"/>
          <w:highlight w:val="white"/>
        </w:rPr>
      </w:pPr>
      <w:r>
        <w:rPr>
          <w:sz w:val="20"/>
          <w:szCs w:val="20"/>
          <w:highlight w:val="white"/>
        </w:rPr>
        <w:br/>
      </w: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783DD3C3" w14:textId="77777777">
        <w:trPr>
          <w:trHeight w:val="760"/>
        </w:trPr>
        <w:tc>
          <w:tcPr>
            <w:tcW w:w="10800" w:type="dxa"/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0D73C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Chronicle Theme and Resources</w:t>
            </w:r>
          </w:p>
        </w:tc>
      </w:tr>
      <w:tr w:rsidR="00831003" w14:paraId="2746A4F1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1DE2B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Separate is Not Equal, Our Legacy Lives On</w:t>
            </w:r>
          </w:p>
          <w:p w14:paraId="37E511FB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Person profile of Anthony Hamilton</w:t>
            </w:r>
          </w:p>
          <w:p w14:paraId="69EF957C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Timeline of the Eras, Emancipation and Its Aftermath, and Jim Crow and Migration</w:t>
            </w:r>
          </w:p>
        </w:tc>
      </w:tr>
    </w:tbl>
    <w:p w14:paraId="5C3284CB" w14:textId="77777777" w:rsidR="00831003" w:rsidRDefault="00831003">
      <w:pPr>
        <w:rPr>
          <w:sz w:val="20"/>
          <w:szCs w:val="20"/>
          <w:highlight w:val="white"/>
        </w:rPr>
      </w:pPr>
    </w:p>
    <w:p w14:paraId="191D5862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114082B7" w14:textId="77777777">
        <w:trPr>
          <w:trHeight w:val="760"/>
        </w:trPr>
        <w:tc>
          <w:tcPr>
            <w:tcW w:w="10800" w:type="dxa"/>
            <w:shd w:val="clear" w:color="auto" w:fill="C9DAF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46C04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Goals</w:t>
            </w:r>
          </w:p>
        </w:tc>
      </w:tr>
      <w:tr w:rsidR="00831003" w14:paraId="6BBBC71D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34EDD" w14:textId="04A1C59C" w:rsidR="00831003" w:rsidRDefault="006128EC">
            <w:pPr>
              <w:numPr>
                <w:ilvl w:val="0"/>
                <w:numId w:val="2"/>
              </w:numPr>
            </w:pPr>
            <w:r>
              <w:t xml:space="preserve">Students will be able to </w:t>
            </w:r>
            <w:r>
              <w:t xml:space="preserve">corroborate sources and use evidence to support a claim about the role of African Americans in the horse industry. </w:t>
            </w:r>
          </w:p>
          <w:p w14:paraId="155570D2" w14:textId="6C089DCB" w:rsidR="00831003" w:rsidRDefault="006128EC">
            <w:pPr>
              <w:numPr>
                <w:ilvl w:val="0"/>
                <w:numId w:val="2"/>
              </w:numPr>
            </w:pPr>
            <w:r>
              <w:t xml:space="preserve">Students will be able to </w:t>
            </w:r>
            <w:r>
              <w:t>use the story of Anthony Hamilton to understand the larger social and political issues in the world at the time.</w:t>
            </w:r>
          </w:p>
          <w:p w14:paraId="09D5D793" w14:textId="512304BF" w:rsidR="00831003" w:rsidRDefault="006128EC">
            <w:pPr>
              <w:numPr>
                <w:ilvl w:val="0"/>
                <w:numId w:val="2"/>
              </w:numPr>
            </w:pPr>
            <w:r>
              <w:t xml:space="preserve">Students will be able to </w:t>
            </w:r>
            <w:r>
              <w:t xml:space="preserve">write a response to the compelling question in which they state a claim and use evidence. </w:t>
            </w:r>
          </w:p>
        </w:tc>
      </w:tr>
    </w:tbl>
    <w:p w14:paraId="1DD2A3E4" w14:textId="77777777" w:rsidR="00831003" w:rsidRDefault="00831003">
      <w:pPr>
        <w:rPr>
          <w:sz w:val="20"/>
          <w:szCs w:val="20"/>
          <w:highlight w:val="white"/>
        </w:rPr>
      </w:pPr>
    </w:p>
    <w:p w14:paraId="34E61B26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40DC2097" w14:textId="77777777">
        <w:trPr>
          <w:trHeight w:val="760"/>
        </w:trPr>
        <w:tc>
          <w:tcPr>
            <w:tcW w:w="10800" w:type="dxa"/>
            <w:shd w:val="clear" w:color="auto" w:fill="D9D2E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C58EB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Guiding Question and Key Concepts</w:t>
            </w:r>
          </w:p>
        </w:tc>
      </w:tr>
      <w:tr w:rsidR="00831003" w14:paraId="1A3FDD3C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B0603" w14:textId="77777777" w:rsidR="00831003" w:rsidRDefault="006128EC">
            <w:r>
              <w:t>Compelling Question</w:t>
            </w:r>
          </w:p>
          <w:p w14:paraId="08829409" w14:textId="77777777" w:rsidR="00831003" w:rsidRDefault="006128EC">
            <w:pPr>
              <w:numPr>
                <w:ilvl w:val="0"/>
                <w:numId w:val="1"/>
              </w:numPr>
            </w:pPr>
            <w:r>
              <w:t>What can Anthony Hamilton teach us?</w:t>
            </w:r>
          </w:p>
          <w:p w14:paraId="1475C2D0" w14:textId="77777777" w:rsidR="00831003" w:rsidRDefault="00831003"/>
          <w:p w14:paraId="04BF591E" w14:textId="77777777" w:rsidR="00831003" w:rsidRDefault="006128EC">
            <w:r>
              <w:t xml:space="preserve">Supporting Questions for Teacher Consideration </w:t>
            </w:r>
          </w:p>
          <w:p w14:paraId="3BCA862D" w14:textId="77777777" w:rsidR="00831003" w:rsidRDefault="006128EC">
            <w:pPr>
              <w:numPr>
                <w:ilvl w:val="0"/>
                <w:numId w:val="3"/>
              </w:numPr>
            </w:pPr>
            <w:r>
              <w:t xml:space="preserve">What was </w:t>
            </w:r>
            <w:proofErr w:type="gramStart"/>
            <w:r>
              <w:t>life like</w:t>
            </w:r>
            <w:proofErr w:type="gramEnd"/>
            <w:r>
              <w:t xml:space="preserve"> for African Americans after the US Civil War?</w:t>
            </w:r>
          </w:p>
          <w:p w14:paraId="638A419D" w14:textId="77777777" w:rsidR="00831003" w:rsidRDefault="006128EC">
            <w:pPr>
              <w:numPr>
                <w:ilvl w:val="0"/>
                <w:numId w:val="4"/>
              </w:numPr>
            </w:pPr>
            <w:r>
              <w:t>How did African Americans break barriers in the horse industry?</w:t>
            </w:r>
          </w:p>
          <w:p w14:paraId="4A0418FF" w14:textId="77777777" w:rsidR="00831003" w:rsidRDefault="006128EC">
            <w:pPr>
              <w:numPr>
                <w:ilvl w:val="0"/>
                <w:numId w:val="4"/>
              </w:numPr>
            </w:pPr>
            <w:r>
              <w:t>Why do historic achievements matter today?</w:t>
            </w:r>
          </w:p>
        </w:tc>
      </w:tr>
    </w:tbl>
    <w:p w14:paraId="1F16FE2C" w14:textId="77777777" w:rsidR="00831003" w:rsidRDefault="00831003">
      <w:pPr>
        <w:rPr>
          <w:sz w:val="20"/>
          <w:szCs w:val="20"/>
          <w:highlight w:val="white"/>
        </w:rPr>
      </w:pPr>
    </w:p>
    <w:p w14:paraId="50219A60" w14:textId="77777777" w:rsidR="00831003" w:rsidRDefault="00831003">
      <w:pPr>
        <w:rPr>
          <w:sz w:val="20"/>
          <w:szCs w:val="20"/>
          <w:highlight w:val="white"/>
        </w:rPr>
      </w:pP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831003" w14:paraId="20591983" w14:textId="77777777">
        <w:trPr>
          <w:trHeight w:val="760"/>
        </w:trPr>
        <w:tc>
          <w:tcPr>
            <w:tcW w:w="10800" w:type="dxa"/>
            <w:shd w:val="clear" w:color="auto" w:fill="E6B8A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3E26" w14:textId="77777777" w:rsidR="00831003" w:rsidRDefault="006128EC">
            <w:pPr>
              <w:widowControl w:val="0"/>
              <w:spacing w:line="240" w:lineRule="auto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Vocabulary</w:t>
            </w:r>
          </w:p>
        </w:tc>
      </w:tr>
      <w:tr w:rsidR="00831003" w14:paraId="086955F8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48B09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Black Codes</w:t>
            </w:r>
          </w:p>
          <w:p w14:paraId="1BC6A6F2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Discrimination</w:t>
            </w:r>
          </w:p>
          <w:p w14:paraId="2EFF611D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Institutional Racism</w:t>
            </w:r>
          </w:p>
          <w:p w14:paraId="163D6F27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Jim Crow Laws</w:t>
            </w:r>
          </w:p>
          <w:p w14:paraId="4DDDE7EF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Jockey</w:t>
            </w:r>
          </w:p>
          <w:p w14:paraId="5517A193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Justice</w:t>
            </w:r>
          </w:p>
          <w:p w14:paraId="069E77DF" w14:textId="77777777" w:rsidR="00831003" w:rsidRDefault="006128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People of Color</w:t>
            </w:r>
          </w:p>
        </w:tc>
      </w:tr>
    </w:tbl>
    <w:p w14:paraId="4C13C829" w14:textId="77777777" w:rsidR="00831003" w:rsidRDefault="00831003">
      <w:pPr>
        <w:rPr>
          <w:sz w:val="20"/>
          <w:szCs w:val="20"/>
          <w:highlight w:val="white"/>
        </w:rPr>
      </w:pPr>
    </w:p>
    <w:p w14:paraId="2DF2A829" w14:textId="77777777" w:rsidR="00831003" w:rsidRDefault="00831003">
      <w:pPr>
        <w:rPr>
          <w:sz w:val="20"/>
          <w:szCs w:val="20"/>
          <w:highlight w:val="white"/>
        </w:rPr>
      </w:pPr>
    </w:p>
    <w:p w14:paraId="08D15847" w14:textId="77777777" w:rsidR="00831003" w:rsidRDefault="00831003"/>
    <w:sectPr w:rsidR="00831003">
      <w:pgSz w:w="12240" w:h="15840"/>
      <w:pgMar w:top="1440" w:right="144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00865"/>
    <w:multiLevelType w:val="multilevel"/>
    <w:tmpl w:val="6DA4C7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EC80D2F"/>
    <w:multiLevelType w:val="multilevel"/>
    <w:tmpl w:val="DE12DDD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6386B64"/>
    <w:multiLevelType w:val="multilevel"/>
    <w:tmpl w:val="3D2EA0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6CA5366"/>
    <w:multiLevelType w:val="multilevel"/>
    <w:tmpl w:val="8076A4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389844514">
    <w:abstractNumId w:val="3"/>
  </w:num>
  <w:num w:numId="2" w16cid:durableId="717826434">
    <w:abstractNumId w:val="1"/>
  </w:num>
  <w:num w:numId="3" w16cid:durableId="1963731523">
    <w:abstractNumId w:val="0"/>
  </w:num>
  <w:num w:numId="4" w16cid:durableId="1184710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003"/>
    <w:rsid w:val="006128EC"/>
    <w:rsid w:val="0083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5B45F"/>
  <w15:docId w15:val="{0601E0ED-26C5-4E47-B351-B92D025C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2023-04-26T19:20:00Z</dcterms:created>
  <dcterms:modified xsi:type="dcterms:W3CDTF">2023-04-26T19:20:00Z</dcterms:modified>
</cp:coreProperties>
</file>